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D2738" w14:textId="48BE1A4E" w:rsidR="0052272F" w:rsidRDefault="27E60F39" w:rsidP="0052272F">
      <w:pPr>
        <w:pStyle w:val="Nzev"/>
        <w:jc w:val="both"/>
        <w:rPr>
          <w:lang w:val="cs-CZ"/>
        </w:rPr>
      </w:pPr>
      <w:r w:rsidRPr="27E60F39">
        <w:rPr>
          <w:lang w:val="cs-CZ"/>
        </w:rPr>
        <w:t>Analytická a fyzikální chemie</w:t>
      </w:r>
    </w:p>
    <w:p w14:paraId="767C5AA7" w14:textId="20FE30F0" w:rsidR="0052272F" w:rsidRPr="0052272F" w:rsidRDefault="00B35D3C" w:rsidP="0052272F">
      <w:pPr>
        <w:pStyle w:val="Podnadpis"/>
        <w:jc w:val="both"/>
        <w:rPr>
          <w:lang w:val="cs-CZ"/>
        </w:rPr>
      </w:pPr>
      <w:r>
        <w:rPr>
          <w:lang w:val="cs-CZ"/>
        </w:rPr>
        <w:t xml:space="preserve">Ročníky: Sexty A, B, C; Septimy A, B, C a </w:t>
      </w:r>
      <w:proofErr w:type="gramStart"/>
      <w:r>
        <w:rPr>
          <w:lang w:val="cs-CZ"/>
        </w:rPr>
        <w:t>3D</w:t>
      </w:r>
      <w:proofErr w:type="gramEnd"/>
    </w:p>
    <w:p w14:paraId="018757E0" w14:textId="77777777" w:rsidR="006A298C" w:rsidRPr="00C45144" w:rsidRDefault="00C451F4" w:rsidP="00C71388">
      <w:pPr>
        <w:pStyle w:val="Nadpis1"/>
        <w:jc w:val="both"/>
        <w:rPr>
          <w:lang w:val="cs-CZ"/>
        </w:rPr>
      </w:pPr>
      <w:r w:rsidRPr="00C45144">
        <w:rPr>
          <w:lang w:val="cs-CZ"/>
        </w:rPr>
        <w:t>Obecné informace</w:t>
      </w:r>
    </w:p>
    <w:p w14:paraId="2A319E0D" w14:textId="77777777" w:rsidR="006A298C" w:rsidRPr="00C45144" w:rsidRDefault="00C451F4" w:rsidP="00C71388">
      <w:pPr>
        <w:pStyle w:val="Nadpis2"/>
        <w:jc w:val="both"/>
        <w:rPr>
          <w:lang w:val="cs-CZ"/>
        </w:rPr>
      </w:pPr>
      <w:r w:rsidRPr="00C45144">
        <w:rPr>
          <w:lang w:val="cs-CZ"/>
        </w:rPr>
        <w:t>Popis</w:t>
      </w:r>
    </w:p>
    <w:p w14:paraId="05EC04CC" w14:textId="3266EADC" w:rsidR="006A298C" w:rsidRPr="00C45144" w:rsidRDefault="27E60F39" w:rsidP="00C71388">
      <w:pPr>
        <w:jc w:val="both"/>
        <w:rPr>
          <w:lang w:val="cs-CZ"/>
        </w:rPr>
      </w:pPr>
      <w:r w:rsidRPr="27E60F39">
        <w:rPr>
          <w:lang w:val="cs-CZ"/>
        </w:rPr>
        <w:t>Seminář z fyzikální a analytické chemie navazuje na učivo, které se probírá v prvním ročníku/kvintě. Část analytické chemie se zabývá tradičními i instrumentálními metodami chemické analýzy, věnuje se dělení analytických metod a statistickému zpracování naměřených dat. V rámci semináře budou probrány základy chromatografie, gravimetrie, volumetrie a spektroskopie. Minimálně ¼ vyučovacích hodin bude věnována praktické práci v laboratoři a exkurzím. V laboratořích se studenti setkají kromě odměrné analýzy i s instrumentálním měřením pH, elektroforézou a chromatografií. Znalosti nabyté v semináři studenti využijí na vysokých školách chemického či farmaceutického směru. Seminář plynule navazuje na základy analytické chemie probírané v běžných hodinách chemie.</w:t>
      </w:r>
    </w:p>
    <w:p w14:paraId="70A796CA" w14:textId="77777777" w:rsidR="006A298C" w:rsidRPr="00C45144" w:rsidRDefault="00C451F4" w:rsidP="00C71388">
      <w:pPr>
        <w:pStyle w:val="Nadpis2"/>
        <w:jc w:val="both"/>
        <w:rPr>
          <w:lang w:val="cs-CZ"/>
        </w:rPr>
      </w:pPr>
      <w:r w:rsidRPr="00C45144">
        <w:rPr>
          <w:lang w:val="cs-CZ"/>
        </w:rPr>
        <w:t>Očekávání a cíle</w:t>
      </w:r>
    </w:p>
    <w:p w14:paraId="181BCA07" w14:textId="0587A5E5" w:rsidR="006A298C" w:rsidRPr="00C45144" w:rsidRDefault="27E60F39" w:rsidP="00C71388">
      <w:pPr>
        <w:jc w:val="both"/>
        <w:rPr>
          <w:lang w:val="cs-CZ"/>
        </w:rPr>
      </w:pPr>
      <w:r w:rsidRPr="27E60F39">
        <w:rPr>
          <w:lang w:val="cs-CZ"/>
        </w:rPr>
        <w:t xml:space="preserve">Na základě znalostí ze semináře by neměli být pro studenty problém zvládnou otázky z přijímacích zkoušek na přírodovědecké, farmaceutické a veterinární obory a na lékařské fakulty týkající se fyzikální chemie. Studenti mají základní přehled o širokém spektru analytických metod a jejich využití v průmyslu, zdravotnictví či forenzní analýze. V semináři jeho účastníci získají dovednosti nejen při analytické práci v chemické laboratoři. </w:t>
      </w:r>
    </w:p>
    <w:p w14:paraId="2A3F6A30" w14:textId="77777777" w:rsidR="006A298C" w:rsidRPr="00026C09" w:rsidRDefault="00C451F4" w:rsidP="00026C09">
      <w:pPr>
        <w:pStyle w:val="Nadpis1"/>
        <w:jc w:val="both"/>
        <w:rPr>
          <w:lang w:val="cs-CZ"/>
        </w:rPr>
      </w:pPr>
      <w:r w:rsidRPr="00026C09">
        <w:rPr>
          <w:lang w:val="cs-CZ"/>
        </w:rPr>
        <w:t>Harmonogram kurzu</w:t>
      </w:r>
    </w:p>
    <w:tbl>
      <w:tblPr>
        <w:tblStyle w:val="Tabulkauebnhoplnusohranienm"/>
        <w:tblW w:w="5000" w:type="pct"/>
        <w:tblLook w:val="04A0" w:firstRow="1" w:lastRow="0" w:firstColumn="1" w:lastColumn="0" w:noHBand="0" w:noVBand="1"/>
        <w:tblDescription w:val="Course schedule"/>
      </w:tblPr>
      <w:tblGrid>
        <w:gridCol w:w="1888"/>
        <w:gridCol w:w="7353"/>
        <w:gridCol w:w="141"/>
        <w:gridCol w:w="19"/>
      </w:tblGrid>
      <w:tr w:rsidR="006A298C" w:rsidRPr="00C45144" w14:paraId="59FB965A" w14:textId="77777777" w:rsidTr="27E60F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2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4" w:type="pct"/>
          </w:tcPr>
          <w:p w14:paraId="2DB4FDA4" w14:textId="77777777" w:rsidR="006A298C" w:rsidRPr="00C45144" w:rsidRDefault="00402EC8" w:rsidP="00C71388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Rok/měsíc</w:t>
            </w:r>
          </w:p>
        </w:tc>
        <w:tc>
          <w:tcPr>
            <w:tcW w:w="3911" w:type="pct"/>
          </w:tcPr>
          <w:p w14:paraId="3C60911C" w14:textId="77777777" w:rsidR="006A298C" w:rsidRPr="00C45144" w:rsidRDefault="00C451F4" w:rsidP="00C7138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 w:rsidRPr="00C45144">
              <w:rPr>
                <w:lang w:val="cs-CZ"/>
              </w:rPr>
              <w:t>Téma</w:t>
            </w:r>
          </w:p>
        </w:tc>
        <w:tc>
          <w:tcPr>
            <w:tcW w:w="75" w:type="pct"/>
          </w:tcPr>
          <w:p w14:paraId="5DAB6C7B" w14:textId="77777777" w:rsidR="006A298C" w:rsidRPr="00C45144" w:rsidRDefault="006A298C" w:rsidP="00C7138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</w:p>
        </w:tc>
        <w:tc>
          <w:tcPr>
            <w:tcW w:w="10" w:type="pct"/>
          </w:tcPr>
          <w:p w14:paraId="02EB378F" w14:textId="77777777" w:rsidR="006A298C" w:rsidRPr="00C45144" w:rsidRDefault="006A298C" w:rsidP="00C7138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</w:p>
        </w:tc>
      </w:tr>
      <w:tr w:rsidR="006A298C" w:rsidRPr="00C45144" w14:paraId="2631C25C" w14:textId="77777777" w:rsidTr="27E60F39">
        <w:trPr>
          <w:trHeight w:val="1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4" w:type="pct"/>
          </w:tcPr>
          <w:p w14:paraId="6FD8547F" w14:textId="77777777" w:rsidR="006A298C" w:rsidRDefault="00402EC8" w:rsidP="00C71388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1/září</w:t>
            </w:r>
          </w:p>
          <w:p w14:paraId="105E8553" w14:textId="77777777" w:rsidR="00402EC8" w:rsidRPr="00C45144" w:rsidRDefault="00402EC8" w:rsidP="00C71388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1/říjen</w:t>
            </w:r>
          </w:p>
        </w:tc>
        <w:tc>
          <w:tcPr>
            <w:tcW w:w="3911" w:type="pct"/>
          </w:tcPr>
          <w:p w14:paraId="73C672EC" w14:textId="59CDD701" w:rsidR="006A298C" w:rsidRDefault="27E60F39" w:rsidP="27E60F3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 w:rsidRPr="27E60F39">
              <w:rPr>
                <w:lang w:val="cs-CZ"/>
              </w:rPr>
              <w:t xml:space="preserve">Úvod do analytické chemie, Základní kroky chemické analýzy, </w:t>
            </w:r>
            <w:r w:rsidR="00B35D3C">
              <w:rPr>
                <w:lang w:val="cs-CZ"/>
              </w:rPr>
              <w:t xml:space="preserve">Kalibrace, </w:t>
            </w:r>
            <w:r w:rsidRPr="27E60F39">
              <w:rPr>
                <w:lang w:val="cs-CZ"/>
              </w:rPr>
              <w:t>Srovnání metod stanovení pH roztoků</w:t>
            </w:r>
          </w:p>
          <w:p w14:paraId="1E4ED533" w14:textId="77777777" w:rsidR="00C20CAE" w:rsidRPr="00C45144" w:rsidRDefault="00026C09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Gravimetrie a volumetrie, laboratorní stanovení obsahu vitaminu C v ovoci a potravinových doplňcích</w:t>
            </w:r>
          </w:p>
        </w:tc>
        <w:tc>
          <w:tcPr>
            <w:tcW w:w="75" w:type="pct"/>
          </w:tcPr>
          <w:p w14:paraId="6A05A809" w14:textId="77777777" w:rsidR="006A298C" w:rsidRPr="00C45144" w:rsidRDefault="006A298C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</w:p>
        </w:tc>
        <w:tc>
          <w:tcPr>
            <w:tcW w:w="10" w:type="pct"/>
          </w:tcPr>
          <w:p w14:paraId="5A39BBE3" w14:textId="77777777" w:rsidR="006A298C" w:rsidRPr="00C45144" w:rsidRDefault="006A298C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</w:p>
        </w:tc>
      </w:tr>
      <w:tr w:rsidR="006A298C" w:rsidRPr="00C45144" w14:paraId="21C127C0" w14:textId="77777777" w:rsidTr="27E60F39">
        <w:trPr>
          <w:trHeight w:val="7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4" w:type="pct"/>
          </w:tcPr>
          <w:p w14:paraId="6A5318C0" w14:textId="77777777" w:rsidR="006A298C" w:rsidRPr="00C45144" w:rsidRDefault="00402EC8" w:rsidP="00C71388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1/listopad</w:t>
            </w:r>
          </w:p>
        </w:tc>
        <w:tc>
          <w:tcPr>
            <w:tcW w:w="3911" w:type="pct"/>
          </w:tcPr>
          <w:p w14:paraId="0AB67831" w14:textId="77777777" w:rsidR="00402EC8" w:rsidRPr="00C45144" w:rsidRDefault="00026C09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Úvod a dělení instrumentálních metod, Chromatografie (papírová, TLC, plynová, kapalinová)</w:t>
            </w:r>
            <w:r w:rsidR="008136BA">
              <w:rPr>
                <w:lang w:val="cs-CZ"/>
              </w:rPr>
              <w:t xml:space="preserve">, </w:t>
            </w:r>
            <w:r w:rsidR="0052272F">
              <w:rPr>
                <w:lang w:val="cs-CZ"/>
              </w:rPr>
              <w:t>L</w:t>
            </w:r>
            <w:r w:rsidR="008136BA">
              <w:rPr>
                <w:lang w:val="cs-CZ"/>
              </w:rPr>
              <w:t>aboratorní stanovení cizorodých látek ve vzorku krve</w:t>
            </w:r>
            <w:r>
              <w:rPr>
                <w:lang w:val="cs-CZ"/>
              </w:rPr>
              <w:t xml:space="preserve"> </w:t>
            </w:r>
          </w:p>
        </w:tc>
        <w:tc>
          <w:tcPr>
            <w:tcW w:w="75" w:type="pct"/>
          </w:tcPr>
          <w:p w14:paraId="41C8F396" w14:textId="77777777" w:rsidR="006A298C" w:rsidRPr="00C45144" w:rsidRDefault="006A298C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</w:p>
        </w:tc>
        <w:tc>
          <w:tcPr>
            <w:tcW w:w="10" w:type="pct"/>
          </w:tcPr>
          <w:p w14:paraId="72A3D3EC" w14:textId="77777777" w:rsidR="006A298C" w:rsidRPr="00C45144" w:rsidRDefault="006A298C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</w:p>
        </w:tc>
      </w:tr>
      <w:tr w:rsidR="006A298C" w:rsidRPr="00C45144" w14:paraId="2DFE3C3B" w14:textId="77777777" w:rsidTr="27E60F39">
        <w:trPr>
          <w:trHeight w:val="7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4" w:type="pct"/>
          </w:tcPr>
          <w:p w14:paraId="52EE6E8B" w14:textId="77777777" w:rsidR="00402EC8" w:rsidRPr="00C45144" w:rsidRDefault="00402EC8" w:rsidP="00C71388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1/prosinec</w:t>
            </w:r>
          </w:p>
        </w:tc>
        <w:tc>
          <w:tcPr>
            <w:tcW w:w="3911" w:type="pct"/>
          </w:tcPr>
          <w:p w14:paraId="6A1CC32A" w14:textId="7EA26AE2" w:rsidR="006A298C" w:rsidRPr="00C45144" w:rsidRDefault="27E60F39" w:rsidP="27E60F3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 w:rsidRPr="27E60F39">
              <w:rPr>
                <w:lang w:val="cs-CZ"/>
              </w:rPr>
              <w:t>Fyzikální podstata spektroskopických metod (rozptyl, emise a absorpce záření), UV-</w:t>
            </w:r>
            <w:proofErr w:type="spellStart"/>
            <w:r w:rsidRPr="27E60F39">
              <w:rPr>
                <w:lang w:val="cs-CZ"/>
              </w:rPr>
              <w:t>ViS</w:t>
            </w:r>
            <w:proofErr w:type="spellEnd"/>
            <w:r w:rsidRPr="27E60F39">
              <w:rPr>
                <w:lang w:val="cs-CZ"/>
              </w:rPr>
              <w:t xml:space="preserve"> spektrometrie (využití, instrumentace), Infračervená spektroskopie (typy infračervené spektroskopie – FIR, MIR, ATR), Hmotnostní spektroskopie a její využití</w:t>
            </w:r>
          </w:p>
        </w:tc>
        <w:tc>
          <w:tcPr>
            <w:tcW w:w="75" w:type="pct"/>
          </w:tcPr>
          <w:p w14:paraId="0D0B940D" w14:textId="77777777" w:rsidR="006A298C" w:rsidRPr="00C45144" w:rsidRDefault="006A298C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</w:p>
        </w:tc>
        <w:tc>
          <w:tcPr>
            <w:tcW w:w="10" w:type="pct"/>
          </w:tcPr>
          <w:p w14:paraId="0E27B00A" w14:textId="77777777" w:rsidR="006A298C" w:rsidRPr="00C45144" w:rsidRDefault="006A298C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</w:p>
        </w:tc>
      </w:tr>
      <w:tr w:rsidR="00E96EE2" w:rsidRPr="00C45144" w14:paraId="79D81DE7" w14:textId="77777777" w:rsidTr="27E60F39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4" w:type="pct"/>
          </w:tcPr>
          <w:p w14:paraId="43738C26" w14:textId="77777777" w:rsidR="00E96EE2" w:rsidRDefault="00E96EE2" w:rsidP="00C71388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1/leden</w:t>
            </w:r>
          </w:p>
        </w:tc>
        <w:tc>
          <w:tcPr>
            <w:tcW w:w="3911" w:type="pct"/>
          </w:tcPr>
          <w:p w14:paraId="7195DD46" w14:textId="18701615" w:rsidR="00E96EE2" w:rsidRPr="00C45144" w:rsidRDefault="27E60F39" w:rsidP="27E60F3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 w:rsidRPr="27E60F39">
              <w:rPr>
                <w:lang w:val="cs-CZ"/>
              </w:rPr>
              <w:t xml:space="preserve">Experimentální ověření poznatků z chromatografických metod Elektromigrační metody (gelová a plošná elektroforéza, </w:t>
            </w:r>
            <w:proofErr w:type="spellStart"/>
            <w:r w:rsidRPr="27E60F39">
              <w:rPr>
                <w:lang w:val="cs-CZ"/>
              </w:rPr>
              <w:t>izotachoforéza</w:t>
            </w:r>
            <w:proofErr w:type="spellEnd"/>
            <w:r w:rsidRPr="27E60F39">
              <w:rPr>
                <w:lang w:val="cs-CZ"/>
              </w:rPr>
              <w:t>)</w:t>
            </w:r>
          </w:p>
        </w:tc>
        <w:tc>
          <w:tcPr>
            <w:tcW w:w="75" w:type="pct"/>
          </w:tcPr>
          <w:p w14:paraId="60061E4C" w14:textId="126B4A17" w:rsidR="00E96EE2" w:rsidRPr="00C45144" w:rsidRDefault="27E60F39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 w:rsidRPr="27E60F39">
              <w:rPr>
                <w:lang w:val="cs-CZ"/>
              </w:rPr>
              <w:t>,</w:t>
            </w:r>
          </w:p>
        </w:tc>
        <w:tc>
          <w:tcPr>
            <w:tcW w:w="10" w:type="pct"/>
          </w:tcPr>
          <w:p w14:paraId="44EAFD9C" w14:textId="77777777" w:rsidR="00E96EE2" w:rsidRPr="00C45144" w:rsidRDefault="00E96EE2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</w:p>
        </w:tc>
      </w:tr>
      <w:tr w:rsidR="00E96EE2" w:rsidRPr="00C45144" w14:paraId="0637E848" w14:textId="77777777" w:rsidTr="27E60F39">
        <w:trPr>
          <w:trHeight w:val="7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4" w:type="pct"/>
          </w:tcPr>
          <w:p w14:paraId="7754F958" w14:textId="77777777" w:rsidR="00E96EE2" w:rsidRDefault="00E96EE2" w:rsidP="00C71388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1/únor</w:t>
            </w:r>
          </w:p>
        </w:tc>
        <w:tc>
          <w:tcPr>
            <w:tcW w:w="3911" w:type="pct"/>
          </w:tcPr>
          <w:p w14:paraId="568DE8B5" w14:textId="686B0284" w:rsidR="00E96EE2" w:rsidRPr="00C45144" w:rsidRDefault="27E60F39" w:rsidP="27E60F3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 w:rsidRPr="27E60F39">
              <w:rPr>
                <w:lang w:val="cs-CZ"/>
              </w:rPr>
              <w:t>Chemické výpočty z analytické chemie (srážecí rovnováhy, složení roztoků, výpočty z chemické rovnice), Statistické zpracování dat</w:t>
            </w:r>
          </w:p>
        </w:tc>
        <w:tc>
          <w:tcPr>
            <w:tcW w:w="75" w:type="pct"/>
          </w:tcPr>
          <w:p w14:paraId="4B94D5A5" w14:textId="77777777" w:rsidR="00E96EE2" w:rsidRPr="00C45144" w:rsidRDefault="00E96EE2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</w:p>
        </w:tc>
        <w:tc>
          <w:tcPr>
            <w:tcW w:w="10" w:type="pct"/>
          </w:tcPr>
          <w:p w14:paraId="3DEEC669" w14:textId="77777777" w:rsidR="00E96EE2" w:rsidRPr="00C45144" w:rsidRDefault="00E96EE2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</w:p>
        </w:tc>
      </w:tr>
      <w:tr w:rsidR="00E96EE2" w:rsidRPr="00C45144" w14:paraId="5C4F2091" w14:textId="77777777" w:rsidTr="27E60F39">
        <w:trPr>
          <w:trHeight w:val="7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4" w:type="pct"/>
          </w:tcPr>
          <w:p w14:paraId="63472314" w14:textId="77777777" w:rsidR="00E96EE2" w:rsidRDefault="00E96EE2" w:rsidP="00C71388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lastRenderedPageBreak/>
              <w:t>1/březen</w:t>
            </w:r>
          </w:p>
        </w:tc>
        <w:tc>
          <w:tcPr>
            <w:tcW w:w="3911" w:type="pct"/>
          </w:tcPr>
          <w:p w14:paraId="02A770E0" w14:textId="2512DC9E" w:rsidR="00E96EE2" w:rsidRPr="00C45144" w:rsidRDefault="27E60F39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 w:rsidRPr="27E60F39">
              <w:rPr>
                <w:lang w:val="cs-CZ"/>
              </w:rPr>
              <w:t>Chemická termodynamika (entalpie, reakční teplo, termochemické zákony, slučovací a spalná teplá)</w:t>
            </w:r>
          </w:p>
        </w:tc>
        <w:tc>
          <w:tcPr>
            <w:tcW w:w="75" w:type="pct"/>
          </w:tcPr>
          <w:p w14:paraId="3656B9AB" w14:textId="77777777" w:rsidR="00E96EE2" w:rsidRPr="00C45144" w:rsidRDefault="00E96EE2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</w:p>
        </w:tc>
        <w:tc>
          <w:tcPr>
            <w:tcW w:w="10" w:type="pct"/>
          </w:tcPr>
          <w:p w14:paraId="45FB0818" w14:textId="77777777" w:rsidR="00E96EE2" w:rsidRPr="00C45144" w:rsidRDefault="00E96EE2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</w:p>
        </w:tc>
      </w:tr>
      <w:tr w:rsidR="00E96EE2" w:rsidRPr="00C45144" w14:paraId="75FDB2EE" w14:textId="77777777" w:rsidTr="27E60F39">
        <w:trPr>
          <w:trHeight w:val="7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4" w:type="pct"/>
          </w:tcPr>
          <w:p w14:paraId="226A3875" w14:textId="77777777" w:rsidR="00E96EE2" w:rsidRDefault="00E96EE2" w:rsidP="00C71388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1/duben</w:t>
            </w:r>
          </w:p>
        </w:tc>
        <w:tc>
          <w:tcPr>
            <w:tcW w:w="3911" w:type="pct"/>
          </w:tcPr>
          <w:p w14:paraId="3FFEDC99" w14:textId="0CEC237B" w:rsidR="00E96EE2" w:rsidRPr="00C45144" w:rsidRDefault="27E60F39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 w:rsidRPr="27E60F39">
              <w:rPr>
                <w:lang w:val="cs-CZ"/>
              </w:rPr>
              <w:t>Rychlost chemických reakcí (reakční rychlost, kinetická rovnice, reakční mechanismy, aktivační energie)</w:t>
            </w:r>
          </w:p>
        </w:tc>
        <w:tc>
          <w:tcPr>
            <w:tcW w:w="75" w:type="pct"/>
          </w:tcPr>
          <w:p w14:paraId="049F31CB" w14:textId="77777777" w:rsidR="00E96EE2" w:rsidRPr="00C45144" w:rsidRDefault="00E96EE2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</w:p>
        </w:tc>
        <w:tc>
          <w:tcPr>
            <w:tcW w:w="10" w:type="pct"/>
          </w:tcPr>
          <w:p w14:paraId="53128261" w14:textId="77777777" w:rsidR="00E96EE2" w:rsidRPr="00C45144" w:rsidRDefault="00E96EE2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</w:p>
        </w:tc>
      </w:tr>
      <w:tr w:rsidR="00E96EE2" w:rsidRPr="00C45144" w14:paraId="5BF69C0B" w14:textId="77777777" w:rsidTr="27E60F39">
        <w:trPr>
          <w:trHeight w:val="10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4" w:type="pct"/>
          </w:tcPr>
          <w:p w14:paraId="3D463B7E" w14:textId="77777777" w:rsidR="00E96EE2" w:rsidRDefault="00E96EE2" w:rsidP="00C71388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1/květen</w:t>
            </w:r>
          </w:p>
        </w:tc>
        <w:tc>
          <w:tcPr>
            <w:tcW w:w="3911" w:type="pct"/>
          </w:tcPr>
          <w:p w14:paraId="243E4623" w14:textId="541CD176" w:rsidR="00E96EE2" w:rsidRPr="00C45144" w:rsidRDefault="27E60F39" w:rsidP="27E60F3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 w:rsidRPr="27E60F39">
              <w:rPr>
                <w:lang w:val="cs-CZ"/>
              </w:rPr>
              <w:t>Katalýza</w:t>
            </w:r>
          </w:p>
          <w:p w14:paraId="48D9BBA4" w14:textId="34C4AD05" w:rsidR="00E96EE2" w:rsidRPr="00C45144" w:rsidRDefault="27E60F39" w:rsidP="27E60F3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 w:rsidRPr="27E60F39">
              <w:rPr>
                <w:lang w:val="cs-CZ"/>
              </w:rPr>
              <w:t xml:space="preserve">Chemické rovnováhy (acidobazické, srážecí, redoxní, </w:t>
            </w:r>
            <w:proofErr w:type="spellStart"/>
            <w:r w:rsidRPr="27E60F39">
              <w:rPr>
                <w:lang w:val="cs-CZ"/>
              </w:rPr>
              <w:t>komplexotvorné</w:t>
            </w:r>
            <w:proofErr w:type="spellEnd"/>
            <w:r w:rsidRPr="27E60F39">
              <w:rPr>
                <w:lang w:val="cs-CZ"/>
              </w:rPr>
              <w:t>)</w:t>
            </w:r>
          </w:p>
        </w:tc>
        <w:tc>
          <w:tcPr>
            <w:tcW w:w="75" w:type="pct"/>
          </w:tcPr>
          <w:p w14:paraId="62486C05" w14:textId="77777777" w:rsidR="00E96EE2" w:rsidRPr="00C45144" w:rsidRDefault="00E96EE2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</w:p>
        </w:tc>
        <w:tc>
          <w:tcPr>
            <w:tcW w:w="10" w:type="pct"/>
          </w:tcPr>
          <w:p w14:paraId="4101652C" w14:textId="77777777" w:rsidR="00E96EE2" w:rsidRPr="00C45144" w:rsidRDefault="00E96EE2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</w:p>
        </w:tc>
      </w:tr>
      <w:tr w:rsidR="00EC2529" w:rsidRPr="00C45144" w14:paraId="592449C0" w14:textId="77777777" w:rsidTr="27E60F39">
        <w:trPr>
          <w:trHeight w:val="7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4" w:type="pct"/>
          </w:tcPr>
          <w:p w14:paraId="2ECF9E42" w14:textId="77777777" w:rsidR="00EC2529" w:rsidRDefault="00EC2529" w:rsidP="00C71388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1/červen</w:t>
            </w:r>
          </w:p>
        </w:tc>
        <w:tc>
          <w:tcPr>
            <w:tcW w:w="3911" w:type="pct"/>
          </w:tcPr>
          <w:p w14:paraId="3692E772" w14:textId="4ED6FB79" w:rsidR="00026C09" w:rsidRPr="00C45144" w:rsidRDefault="27E60F39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proofErr w:type="spellStart"/>
            <w:r w:rsidRPr="27E60F39">
              <w:rPr>
                <w:lang w:val="cs-CZ"/>
              </w:rPr>
              <w:t>Krystalochemie</w:t>
            </w:r>
            <w:proofErr w:type="spellEnd"/>
            <w:r w:rsidRPr="27E60F39">
              <w:rPr>
                <w:lang w:val="cs-CZ"/>
              </w:rPr>
              <w:t>, fotochemické reakce</w:t>
            </w:r>
          </w:p>
        </w:tc>
        <w:tc>
          <w:tcPr>
            <w:tcW w:w="75" w:type="pct"/>
          </w:tcPr>
          <w:p w14:paraId="4B99056E" w14:textId="77777777" w:rsidR="00EC2529" w:rsidRPr="00C45144" w:rsidRDefault="00EC2529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</w:p>
        </w:tc>
        <w:tc>
          <w:tcPr>
            <w:tcW w:w="10" w:type="pct"/>
          </w:tcPr>
          <w:p w14:paraId="1299C43A" w14:textId="77777777" w:rsidR="00EC2529" w:rsidRPr="00C45144" w:rsidRDefault="00EC2529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</w:p>
        </w:tc>
      </w:tr>
    </w:tbl>
    <w:p w14:paraId="4DDBEF00" w14:textId="77777777" w:rsidR="00026C09" w:rsidRDefault="00026C09" w:rsidP="00C71388">
      <w:pPr>
        <w:jc w:val="both"/>
        <w:rPr>
          <w:lang w:val="cs-CZ"/>
        </w:rPr>
      </w:pPr>
    </w:p>
    <w:p w14:paraId="3461D779" w14:textId="77777777" w:rsidR="00EC2529" w:rsidRDefault="00EC2529" w:rsidP="00C71388">
      <w:pPr>
        <w:jc w:val="both"/>
        <w:rPr>
          <w:lang w:val="cs-CZ"/>
        </w:rPr>
      </w:pPr>
    </w:p>
    <w:p w14:paraId="3CF2D8B6" w14:textId="77777777" w:rsidR="00EC2529" w:rsidRDefault="00EC2529" w:rsidP="00C71388">
      <w:pPr>
        <w:jc w:val="both"/>
        <w:rPr>
          <w:lang w:val="cs-CZ"/>
        </w:rPr>
      </w:pPr>
    </w:p>
    <w:p w14:paraId="03E7AF8F" w14:textId="19B5B5D3" w:rsidR="006A298C" w:rsidRPr="00C45144" w:rsidRDefault="00EC2529" w:rsidP="00C71388">
      <w:pPr>
        <w:jc w:val="both"/>
        <w:rPr>
          <w:lang w:val="cs-CZ"/>
        </w:rPr>
      </w:pPr>
      <w:r>
        <w:rPr>
          <w:lang w:val="cs-CZ"/>
        </w:rPr>
        <w:fldChar w:fldCharType="begin"/>
      </w:r>
      <w:r>
        <w:rPr>
          <w:lang w:val="cs-CZ"/>
        </w:rPr>
        <w:instrText xml:space="preserve"> ADDIN EN.REFLIST </w:instrText>
      </w:r>
      <w:r>
        <w:rPr>
          <w:lang w:val="cs-CZ"/>
        </w:rPr>
        <w:fldChar w:fldCharType="end"/>
      </w:r>
    </w:p>
    <w:sectPr w:rsidR="006A298C" w:rsidRPr="00C45144" w:rsidSect="00C45144">
      <w:headerReference w:type="default" r:id="rId8"/>
      <w:footerReference w:type="default" r:id="rId9"/>
      <w:pgSz w:w="11907" w:h="16839" w:code="9"/>
      <w:pgMar w:top="1152" w:right="1253" w:bottom="2160" w:left="1253" w:header="720" w:footer="12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FE82B" w14:textId="77777777" w:rsidR="00C227BE" w:rsidRDefault="00C227BE">
      <w:pPr>
        <w:spacing w:after="0"/>
      </w:pPr>
      <w:r>
        <w:separator/>
      </w:r>
    </w:p>
  </w:endnote>
  <w:endnote w:type="continuationSeparator" w:id="0">
    <w:p w14:paraId="64731A67" w14:textId="77777777" w:rsidR="00C227BE" w:rsidRDefault="00C227B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04EC9" w14:textId="77777777" w:rsidR="006A298C" w:rsidRPr="00C45144" w:rsidRDefault="00C451F4">
    <w:pPr>
      <w:pStyle w:val="Zpat"/>
      <w:rPr>
        <w:lang w:val="cs-CZ"/>
      </w:rPr>
    </w:pPr>
    <w:r w:rsidRPr="00C45144">
      <w:rPr>
        <w:lang w:val="cs-CZ"/>
      </w:rPr>
      <w:t xml:space="preserve">Stránka </w:t>
    </w:r>
    <w:r w:rsidRPr="00C45144">
      <w:rPr>
        <w:lang w:val="cs-CZ"/>
      </w:rPr>
      <w:fldChar w:fldCharType="begin"/>
    </w:r>
    <w:r w:rsidRPr="00C45144">
      <w:rPr>
        <w:lang w:val="cs-CZ"/>
      </w:rPr>
      <w:instrText xml:space="preserve"> PAGE   \* MERGEFORMAT </w:instrText>
    </w:r>
    <w:r w:rsidRPr="00C45144">
      <w:rPr>
        <w:lang w:val="cs-CZ"/>
      </w:rPr>
      <w:fldChar w:fldCharType="separate"/>
    </w:r>
    <w:r w:rsidR="001A4342">
      <w:rPr>
        <w:noProof/>
        <w:lang w:val="cs-CZ"/>
      </w:rPr>
      <w:t>2</w:t>
    </w:r>
    <w:r w:rsidRPr="00C45144">
      <w:rPr>
        <w:noProof/>
        <w:lang w:val="cs-CZ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DCDA5" w14:textId="77777777" w:rsidR="00C227BE" w:rsidRDefault="00C227BE">
      <w:pPr>
        <w:spacing w:after="0"/>
      </w:pPr>
      <w:r>
        <w:separator/>
      </w:r>
    </w:p>
  </w:footnote>
  <w:footnote w:type="continuationSeparator" w:id="0">
    <w:p w14:paraId="5C53CB3A" w14:textId="77777777" w:rsidR="00C227BE" w:rsidRDefault="00C227B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0B749" w14:textId="263E4368" w:rsidR="0052272F" w:rsidRDefault="0052272F">
    <w:pPr>
      <w:pStyle w:val="Zhlav"/>
    </w:pPr>
    <w:r>
      <w:ptab w:relativeTo="margin" w:alignment="center" w:leader="none"/>
    </w:r>
    <w:r>
      <w:ptab w:relativeTo="margin" w:alignment="right" w:leader="none"/>
    </w:r>
    <w:proofErr w:type="spellStart"/>
    <w:r>
      <w:t>Vyučující</w:t>
    </w:r>
    <w:proofErr w:type="spellEnd"/>
    <w:r>
      <w:t>: Ing. Jiří Mikeš</w:t>
    </w:r>
    <w:r w:rsidR="00B35D3C">
      <w:t xml:space="preserve"> Ph. D.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AAA5C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482775B"/>
    <w:multiLevelType w:val="multilevel"/>
    <w:tmpl w:val="006A427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0FB165E"/>
    <w:multiLevelType w:val="hybridMultilevel"/>
    <w:tmpl w:val="4C5828F0"/>
    <w:lvl w:ilvl="0" w:tplc="EA184B6E">
      <w:start w:val="1"/>
      <w:numFmt w:val="bullet"/>
      <w:pStyle w:val="Seznamsodrkami"/>
      <w:lvlText w:val=""/>
      <w:lvlJc w:val="left"/>
      <w:pPr>
        <w:tabs>
          <w:tab w:val="num" w:pos="144"/>
        </w:tabs>
        <w:ind w:left="144" w:hanging="14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FEA0A5C"/>
    <w:multiLevelType w:val="hybridMultilevel"/>
    <w:tmpl w:val="7BB2B9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631B48"/>
    <w:multiLevelType w:val="hybridMultilevel"/>
    <w:tmpl w:val="83FCCD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98204A"/>
    <w:multiLevelType w:val="hybridMultilevel"/>
    <w:tmpl w:val="A0B4C12E"/>
    <w:lvl w:ilvl="0" w:tplc="CAF8371E">
      <w:start w:val="1"/>
      <w:numFmt w:val="bullet"/>
      <w:lvlText w:val="·"/>
      <w:lvlJc w:val="left"/>
      <w:pPr>
        <w:ind w:left="36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B6A0D60"/>
    <w:multiLevelType w:val="hybridMultilevel"/>
    <w:tmpl w:val="AC08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3F3813"/>
    <w:multiLevelType w:val="hybridMultilevel"/>
    <w:tmpl w:val="C002B01A"/>
    <w:lvl w:ilvl="0" w:tplc="AFA82AE6">
      <w:start w:val="1"/>
      <w:numFmt w:val="bullet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81201778">
    <w:abstractNumId w:val="0"/>
  </w:num>
  <w:num w:numId="2" w16cid:durableId="1871643721">
    <w:abstractNumId w:val="5"/>
  </w:num>
  <w:num w:numId="3" w16cid:durableId="1722434364">
    <w:abstractNumId w:val="7"/>
  </w:num>
  <w:num w:numId="4" w16cid:durableId="48581281">
    <w:abstractNumId w:val="2"/>
  </w:num>
  <w:num w:numId="5" w16cid:durableId="1308507548">
    <w:abstractNumId w:val="2"/>
    <w:lvlOverride w:ilvl="0">
      <w:startOverride w:val="1"/>
    </w:lvlOverride>
  </w:num>
  <w:num w:numId="6" w16cid:durableId="933824461">
    <w:abstractNumId w:val="1"/>
  </w:num>
  <w:num w:numId="7" w16cid:durableId="1529177588">
    <w:abstractNumId w:val="1"/>
  </w:num>
  <w:num w:numId="8" w16cid:durableId="1835489002">
    <w:abstractNumId w:val="1"/>
  </w:num>
  <w:num w:numId="9" w16cid:durableId="1927031961">
    <w:abstractNumId w:val="1"/>
  </w:num>
  <w:num w:numId="10" w16cid:durableId="153231397">
    <w:abstractNumId w:val="1"/>
  </w:num>
  <w:num w:numId="11" w16cid:durableId="1950308605">
    <w:abstractNumId w:val="1"/>
  </w:num>
  <w:num w:numId="12" w16cid:durableId="1922180801">
    <w:abstractNumId w:val="1"/>
  </w:num>
  <w:num w:numId="13" w16cid:durableId="435641079">
    <w:abstractNumId w:val="1"/>
  </w:num>
  <w:num w:numId="14" w16cid:durableId="798304217">
    <w:abstractNumId w:val="1"/>
  </w:num>
  <w:num w:numId="15" w16cid:durableId="1175532932">
    <w:abstractNumId w:val="1"/>
  </w:num>
  <w:num w:numId="16" w16cid:durableId="919215685">
    <w:abstractNumId w:val="4"/>
  </w:num>
  <w:num w:numId="17" w16cid:durableId="1666783206">
    <w:abstractNumId w:val="3"/>
  </w:num>
  <w:num w:numId="18" w16cid:durableId="14300076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zQwNjc3MrA0MjAztjBS0lEKTi0uzszPAykwrAUA4A/R5ywAAAA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CS&lt;/Style&gt;&lt;LeftDelim&gt;{&lt;/LeftDelim&gt;&lt;RightDelim&gt;}&lt;/RightDelim&gt;&lt;FontName&gt;Cambria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91483D"/>
    <w:rsid w:val="00007127"/>
    <w:rsid w:val="00023F49"/>
    <w:rsid w:val="00026C09"/>
    <w:rsid w:val="000410E7"/>
    <w:rsid w:val="000739DF"/>
    <w:rsid w:val="000A1C45"/>
    <w:rsid w:val="000C4BB2"/>
    <w:rsid w:val="000D3641"/>
    <w:rsid w:val="00103022"/>
    <w:rsid w:val="0017213C"/>
    <w:rsid w:val="001A4342"/>
    <w:rsid w:val="001D165C"/>
    <w:rsid w:val="003640C8"/>
    <w:rsid w:val="003B4621"/>
    <w:rsid w:val="003D2730"/>
    <w:rsid w:val="003E7AF1"/>
    <w:rsid w:val="00402EC8"/>
    <w:rsid w:val="004223FF"/>
    <w:rsid w:val="004366F1"/>
    <w:rsid w:val="004471E6"/>
    <w:rsid w:val="00472CAE"/>
    <w:rsid w:val="004B7988"/>
    <w:rsid w:val="00514F1B"/>
    <w:rsid w:val="0052272F"/>
    <w:rsid w:val="00551B6D"/>
    <w:rsid w:val="005567A1"/>
    <w:rsid w:val="00571ED4"/>
    <w:rsid w:val="005B77D3"/>
    <w:rsid w:val="00625443"/>
    <w:rsid w:val="00651921"/>
    <w:rsid w:val="006A298C"/>
    <w:rsid w:val="006C0122"/>
    <w:rsid w:val="007D2731"/>
    <w:rsid w:val="008034C4"/>
    <w:rsid w:val="008136BA"/>
    <w:rsid w:val="008969C0"/>
    <w:rsid w:val="008B1806"/>
    <w:rsid w:val="0091483D"/>
    <w:rsid w:val="009876F4"/>
    <w:rsid w:val="0099191A"/>
    <w:rsid w:val="00A7728D"/>
    <w:rsid w:val="00B35D3C"/>
    <w:rsid w:val="00B402A7"/>
    <w:rsid w:val="00B55435"/>
    <w:rsid w:val="00C20CAE"/>
    <w:rsid w:val="00C227BE"/>
    <w:rsid w:val="00C45144"/>
    <w:rsid w:val="00C451F4"/>
    <w:rsid w:val="00C71388"/>
    <w:rsid w:val="00D415BC"/>
    <w:rsid w:val="00DB0377"/>
    <w:rsid w:val="00DD7A25"/>
    <w:rsid w:val="00E203A9"/>
    <w:rsid w:val="00E668E6"/>
    <w:rsid w:val="00E96EE2"/>
    <w:rsid w:val="00EC2529"/>
    <w:rsid w:val="00ED1DEC"/>
    <w:rsid w:val="27E60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575847"/>
  <w15:chartTrackingRefBased/>
  <w15:docId w15:val="{E91AF998-F128-4998-AA2F-C56978610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02EC8"/>
  </w:style>
  <w:style w:type="paragraph" w:styleId="Nadpis1">
    <w:name w:val="heading 1"/>
    <w:basedOn w:val="Normln"/>
    <w:next w:val="Normln"/>
    <w:link w:val="Nadpis1Char"/>
    <w:uiPriority w:val="9"/>
    <w:qFormat/>
    <w:rsid w:val="00402EC8"/>
    <w:pPr>
      <w:keepNext/>
      <w:keepLines/>
      <w:numPr>
        <w:numId w:val="15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02EC8"/>
    <w:pPr>
      <w:keepNext/>
      <w:keepLines/>
      <w:numPr>
        <w:ilvl w:val="1"/>
        <w:numId w:val="15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02EC8"/>
    <w:pPr>
      <w:keepNext/>
      <w:keepLines/>
      <w:numPr>
        <w:ilvl w:val="2"/>
        <w:numId w:val="15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02EC8"/>
    <w:pPr>
      <w:keepNext/>
      <w:keepLines/>
      <w:numPr>
        <w:ilvl w:val="3"/>
        <w:numId w:val="1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02EC8"/>
    <w:pPr>
      <w:keepNext/>
      <w:keepLines/>
      <w:numPr>
        <w:ilvl w:val="4"/>
        <w:numId w:val="15"/>
      </w:numPr>
      <w:spacing w:before="200" w:after="0"/>
      <w:outlineLvl w:val="4"/>
    </w:pPr>
    <w:rPr>
      <w:rFonts w:asciiTheme="majorHAnsi" w:eastAsiaTheme="majorEastAsia" w:hAnsiTheme="majorHAnsi" w:cstheme="majorBidi"/>
      <w:color w:val="281211" w:themeColor="text2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02EC8"/>
    <w:pPr>
      <w:keepNext/>
      <w:keepLines/>
      <w:numPr>
        <w:ilvl w:val="5"/>
        <w:numId w:val="1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81211" w:themeColor="text2" w:themeShade="B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02EC8"/>
    <w:pPr>
      <w:keepNext/>
      <w:keepLines/>
      <w:numPr>
        <w:ilvl w:val="6"/>
        <w:numId w:val="1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02EC8"/>
    <w:pPr>
      <w:keepNext/>
      <w:keepLines/>
      <w:numPr>
        <w:ilvl w:val="7"/>
        <w:numId w:val="1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02EC8"/>
    <w:pPr>
      <w:keepNext/>
      <w:keepLines/>
      <w:numPr>
        <w:ilvl w:val="8"/>
        <w:numId w:val="1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402EC8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02EC8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02EC8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nadpisChar">
    <w:name w:val="Podnadpis Char"/>
    <w:basedOn w:val="Standardnpsmoodstavce"/>
    <w:link w:val="Podnadpis"/>
    <w:uiPriority w:val="11"/>
    <w:rsid w:val="00402EC8"/>
    <w:rPr>
      <w:color w:val="5A5A5A" w:themeColor="text1" w:themeTint="A5"/>
      <w:spacing w:val="10"/>
    </w:r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402EC8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table" w:styleId="Mkatabulky">
    <w:name w:val="Table Grid"/>
    <w:basedOn w:val="Normlntabulka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402EC8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customStyle="1" w:styleId="Seznamsodrkami">
    <w:name w:val="Seznam s odrážkami"/>
    <w:basedOn w:val="Normln"/>
    <w:uiPriority w:val="1"/>
    <w:unhideWhenUsed/>
    <w:pPr>
      <w:numPr>
        <w:numId w:val="4"/>
      </w:numPr>
    </w:pPr>
  </w:style>
  <w:style w:type="character" w:styleId="Siln">
    <w:name w:val="Strong"/>
    <w:basedOn w:val="Standardnpsmoodstavce"/>
    <w:uiPriority w:val="22"/>
    <w:qFormat/>
    <w:rsid w:val="00402EC8"/>
    <w:rPr>
      <w:b/>
      <w:bCs/>
      <w:color w:val="000000" w:themeColor="text1"/>
    </w:rPr>
  </w:style>
  <w:style w:type="table" w:customStyle="1" w:styleId="Tabulkauebnhoplnubezohranien">
    <w:name w:val="Tabulka učebního plánu – bez ohraničení"/>
    <w:basedOn w:val="Normlntabulka"/>
    <w:uiPriority w:val="99"/>
    <w:pPr>
      <w:spacing w:after="0"/>
    </w:pPr>
    <w:tblPr>
      <w:tblCellMar>
        <w:left w:w="0" w:type="dxa"/>
        <w:right w:w="0" w:type="dxa"/>
      </w:tblCellMar>
    </w:tblPr>
    <w:tblStylePr w:type="firstRow">
      <w:pPr>
        <w:wordWrap/>
        <w:spacing w:afterLines="0" w:after="80" w:afterAutospacing="0"/>
      </w:pPr>
      <w:rPr>
        <w:rFonts w:asciiTheme="majorHAnsi" w:hAnsiTheme="majorHAnsi"/>
        <w:b/>
        <w:color w:val="D6615C" w:themeColor="accent1"/>
        <w:sz w:val="20"/>
      </w:rPr>
    </w:tblStylePr>
  </w:style>
  <w:style w:type="paragraph" w:styleId="Bezmezer">
    <w:name w:val="No Spacing"/>
    <w:uiPriority w:val="1"/>
    <w:qFormat/>
    <w:rsid w:val="00402EC8"/>
    <w:pPr>
      <w:spacing w:after="0" w:line="240" w:lineRule="auto"/>
    </w:pPr>
  </w:style>
  <w:style w:type="table" w:customStyle="1" w:styleId="Tabulkauebnhoplnusohranienm">
    <w:name w:val="Tabulka učebního plánu – s ohraničením"/>
    <w:basedOn w:val="Normlntabulka"/>
    <w:uiPriority w:val="99"/>
    <w:pPr>
      <w:spacing w:before="80" w:after="80"/>
    </w:pPr>
    <w:tblPr>
      <w:tblBorders>
        <w:bottom w:val="single" w:sz="4" w:space="0" w:color="D6615C" w:themeColor="accent1"/>
        <w:insideH w:val="single" w:sz="4" w:space="0" w:color="BFBFBF" w:themeColor="background1" w:themeShade="BF"/>
      </w:tblBorders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80" w:afterAutospacing="0"/>
      </w:pPr>
      <w:rPr>
        <w:rFonts w:asciiTheme="majorHAnsi" w:hAnsiTheme="majorHAnsi"/>
        <w:b/>
        <w:color w:val="D6615C" w:themeColor="accent1"/>
        <w:sz w:val="20"/>
      </w:rPr>
      <w:tblPr/>
      <w:tcPr>
        <w:tcBorders>
          <w:top w:val="nil"/>
          <w:left w:val="nil"/>
          <w:bottom w:val="single" w:sz="4" w:space="0" w:color="D6615C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color w:val="262626" w:themeColor="text1" w:themeTint="D9"/>
      </w:rPr>
    </w:tblStylePr>
  </w:style>
  <w:style w:type="paragraph" w:styleId="Zhlav">
    <w:name w:val="header"/>
    <w:basedOn w:val="Normln"/>
    <w:link w:val="ZhlavChar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pBdr>
        <w:top w:val="single" w:sz="4" w:space="6" w:color="D6615C" w:themeColor="accent1"/>
      </w:pBdr>
      <w:spacing w:after="0"/>
      <w:jc w:val="right"/>
    </w:pPr>
    <w:rPr>
      <w:b/>
      <w:bCs/>
      <w:color w:val="262626" w:themeColor="text1" w:themeTint="D9"/>
    </w:rPr>
  </w:style>
  <w:style w:type="character" w:customStyle="1" w:styleId="ZpatChar">
    <w:name w:val="Zápatí Char"/>
    <w:basedOn w:val="Standardnpsmoodstavce"/>
    <w:link w:val="Zpat"/>
    <w:uiPriority w:val="99"/>
    <w:rPr>
      <w:b/>
      <w:bCs/>
      <w:color w:val="262626" w:themeColor="text1" w:themeTint="D9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02EC8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02EC8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02EC8"/>
    <w:rPr>
      <w:rFonts w:asciiTheme="majorHAnsi" w:eastAsiaTheme="majorEastAsia" w:hAnsiTheme="majorHAnsi" w:cstheme="majorBidi"/>
      <w:color w:val="281211" w:themeColor="text2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02EC8"/>
    <w:rPr>
      <w:rFonts w:asciiTheme="majorHAnsi" w:eastAsiaTheme="majorEastAsia" w:hAnsiTheme="majorHAnsi" w:cstheme="majorBidi"/>
      <w:i/>
      <w:iCs/>
      <w:color w:val="281211" w:themeColor="text2" w:themeShade="B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02E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02E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02E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402EC8"/>
    <w:pPr>
      <w:spacing w:after="200" w:line="240" w:lineRule="auto"/>
    </w:pPr>
    <w:rPr>
      <w:i/>
      <w:iCs/>
      <w:color w:val="361817" w:themeColor="text2"/>
      <w:sz w:val="18"/>
      <w:szCs w:val="18"/>
    </w:rPr>
  </w:style>
  <w:style w:type="character" w:styleId="Zdraznn">
    <w:name w:val="Emphasis"/>
    <w:basedOn w:val="Standardnpsmoodstavce"/>
    <w:uiPriority w:val="20"/>
    <w:qFormat/>
    <w:rsid w:val="00402EC8"/>
    <w:rPr>
      <w:i/>
      <w:iCs/>
      <w:color w:val="auto"/>
    </w:rPr>
  </w:style>
  <w:style w:type="paragraph" w:styleId="Citt">
    <w:name w:val="Quote"/>
    <w:basedOn w:val="Normln"/>
    <w:next w:val="Normln"/>
    <w:link w:val="CittChar"/>
    <w:uiPriority w:val="29"/>
    <w:qFormat/>
    <w:rsid w:val="00402EC8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02EC8"/>
    <w:rPr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02EC8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02EC8"/>
    <w:rPr>
      <w:color w:val="000000" w:themeColor="text1"/>
      <w:shd w:val="clear" w:color="auto" w:fill="F2F2F2" w:themeFill="background1" w:themeFillShade="F2"/>
    </w:rPr>
  </w:style>
  <w:style w:type="character" w:styleId="Zdraznnjemn">
    <w:name w:val="Subtle Emphasis"/>
    <w:basedOn w:val="Standardnpsmoodstavce"/>
    <w:uiPriority w:val="19"/>
    <w:qFormat/>
    <w:rsid w:val="00402EC8"/>
    <w:rPr>
      <w:i/>
      <w:iCs/>
      <w:color w:val="404040" w:themeColor="text1" w:themeTint="BF"/>
    </w:rPr>
  </w:style>
  <w:style w:type="character" w:styleId="Zdraznnintenzivn">
    <w:name w:val="Intense Emphasis"/>
    <w:basedOn w:val="Standardnpsmoodstavce"/>
    <w:uiPriority w:val="21"/>
    <w:qFormat/>
    <w:rsid w:val="00402EC8"/>
    <w:rPr>
      <w:b/>
      <w:bCs/>
      <w:i/>
      <w:iCs/>
      <w:caps/>
    </w:rPr>
  </w:style>
  <w:style w:type="character" w:styleId="Odkazjemn">
    <w:name w:val="Subtle Reference"/>
    <w:basedOn w:val="Standardnpsmoodstavce"/>
    <w:uiPriority w:val="31"/>
    <w:qFormat/>
    <w:rsid w:val="00402EC8"/>
    <w:rPr>
      <w:smallCaps/>
      <w:color w:val="404040" w:themeColor="text1" w:themeTint="BF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402EC8"/>
    <w:rPr>
      <w:b/>
      <w:bCs/>
      <w:smallCaps/>
      <w:u w:val="single"/>
    </w:rPr>
  </w:style>
  <w:style w:type="character" w:styleId="Nzevknihy">
    <w:name w:val="Book Title"/>
    <w:basedOn w:val="Standardnpsmoodstavce"/>
    <w:uiPriority w:val="33"/>
    <w:qFormat/>
    <w:rsid w:val="00402EC8"/>
    <w:rPr>
      <w:b w:val="0"/>
      <w:bCs w:val="0"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02EC8"/>
    <w:pPr>
      <w:outlineLvl w:val="9"/>
    </w:pPr>
  </w:style>
  <w:style w:type="paragraph" w:customStyle="1" w:styleId="EndNoteBibliographyTitle">
    <w:name w:val="EndNote Bibliography Title"/>
    <w:basedOn w:val="Normln"/>
    <w:link w:val="EndNoteBibliographyTitleChar"/>
    <w:rsid w:val="00EC2529"/>
    <w:pPr>
      <w:spacing w:after="0"/>
      <w:jc w:val="center"/>
    </w:pPr>
    <w:rPr>
      <w:rFonts w:ascii="Cambria" w:hAnsi="Cambria"/>
      <w:noProof/>
    </w:rPr>
  </w:style>
  <w:style w:type="character" w:customStyle="1" w:styleId="EndNoteBibliographyTitleChar">
    <w:name w:val="EndNote Bibliography Title Char"/>
    <w:basedOn w:val="Nadpis1Char"/>
    <w:link w:val="EndNoteBibliographyTitle"/>
    <w:rsid w:val="00EC2529"/>
    <w:rPr>
      <w:rFonts w:ascii="Cambria" w:eastAsiaTheme="majorEastAsia" w:hAnsi="Cambria" w:cstheme="majorBidi"/>
      <w:b w:val="0"/>
      <w:bCs w:val="0"/>
      <w:smallCaps w:val="0"/>
      <w:noProof/>
      <w:color w:val="000000" w:themeColor="text1"/>
      <w:sz w:val="36"/>
      <w:szCs w:val="36"/>
    </w:rPr>
  </w:style>
  <w:style w:type="paragraph" w:customStyle="1" w:styleId="EndNoteBibliography">
    <w:name w:val="EndNote Bibliography"/>
    <w:basedOn w:val="Normln"/>
    <w:link w:val="EndNoteBibliographyChar"/>
    <w:rsid w:val="00EC2529"/>
    <w:pPr>
      <w:spacing w:line="240" w:lineRule="auto"/>
    </w:pPr>
    <w:rPr>
      <w:rFonts w:ascii="Cambria" w:hAnsi="Cambria"/>
      <w:noProof/>
    </w:rPr>
  </w:style>
  <w:style w:type="character" w:customStyle="1" w:styleId="EndNoteBibliographyChar">
    <w:name w:val="EndNote Bibliography Char"/>
    <w:basedOn w:val="Nadpis1Char"/>
    <w:link w:val="EndNoteBibliography"/>
    <w:rsid w:val="00EC2529"/>
    <w:rPr>
      <w:rFonts w:ascii="Cambria" w:eastAsiaTheme="majorEastAsia" w:hAnsi="Cambria" w:cstheme="majorBidi"/>
      <w:b w:val="0"/>
      <w:bCs w:val="0"/>
      <w:smallCaps w:val="0"/>
      <w:noProof/>
      <w:color w:val="000000" w:themeColor="text1"/>
      <w:sz w:val="36"/>
      <w:szCs w:val="36"/>
    </w:rPr>
  </w:style>
  <w:style w:type="paragraph" w:styleId="Odstavecseseznamem">
    <w:name w:val="List Paragraph"/>
    <w:basedOn w:val="Normln"/>
    <w:uiPriority w:val="34"/>
    <w:qFormat/>
    <w:rsid w:val="000A1C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6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&#345;&#237;\AppData\Roaming\Microsoft\Templates\U&#269;itelsk&#253;%20u&#269;ebn&#237;%20pl&#225;n.dotx" TargetMode="External"/></Relationships>
</file>

<file path=word/theme/theme1.xml><?xml version="1.0" encoding="utf-8"?>
<a:theme xmlns:a="http://schemas.openxmlformats.org/drawingml/2006/main" name="Office Theme">
  <a:themeElements>
    <a:clrScheme name="Syllabus">
      <a:dk1>
        <a:sysClr val="windowText" lastClr="000000"/>
      </a:dk1>
      <a:lt1>
        <a:sysClr val="window" lastClr="FFFFFF"/>
      </a:lt1>
      <a:dk2>
        <a:srgbClr val="361817"/>
      </a:dk2>
      <a:lt2>
        <a:srgbClr val="FAEDD9"/>
      </a:lt2>
      <a:accent1>
        <a:srgbClr val="D6615C"/>
      </a:accent1>
      <a:accent2>
        <a:srgbClr val="549CCC"/>
      </a:accent2>
      <a:accent3>
        <a:srgbClr val="E89F03"/>
      </a:accent3>
      <a:accent4>
        <a:srgbClr val="56B977"/>
      </a:accent4>
      <a:accent5>
        <a:srgbClr val="E17E00"/>
      </a:accent5>
      <a:accent6>
        <a:srgbClr val="02779E"/>
      </a:accent6>
      <a:hlink>
        <a:srgbClr val="549CCC"/>
      </a:hlink>
      <a:folHlink>
        <a:srgbClr val="E17E00"/>
      </a:folHlink>
    </a:clrScheme>
    <a:fontScheme name="Calibri-Cambria">
      <a:majorFont>
        <a:latin typeface="Calibri" panose="020F0502020204030204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encoding="utf-8"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9B827C3-6CAF-4F66-A2F7-D2220C916C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Učitelský učební plán.dotx</Template>
  <TotalTime>5</TotalTime>
  <Pages>2</Pages>
  <Words>386</Words>
  <Characters>2279</Characters>
  <Application>Microsoft Office Word</Application>
  <DocSecurity>0</DocSecurity>
  <Lines>18</Lines>
  <Paragraphs>5</Paragraphs>
  <ScaleCrop>false</ScaleCrop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Jiří</dc:creator>
  <cp:keywords/>
  <cp:lastModifiedBy>Mikeš Jiří</cp:lastModifiedBy>
  <cp:revision>6</cp:revision>
  <dcterms:created xsi:type="dcterms:W3CDTF">2019-01-20T13:44:00Z</dcterms:created>
  <dcterms:modified xsi:type="dcterms:W3CDTF">2023-09-23T20:11:00Z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TC029193399991</vt:lpwstr>
  </property>
</Properties>
</file>